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游ゴシック" w:hAnsi="游ゴシック" w:eastAsia="游ゴシック"/>
        </w:rPr>
      </w:pPr>
      <w:r>
        <w:rPr>
          <w:rFonts w:hint="eastAsia" w:ascii="游ゴシック" w:hAnsi="游ゴシック" w:eastAsia="游ゴシック"/>
        </w:rPr>
        <w:t>（参考様式第９号）</w:t>
      </w:r>
    </w:p>
    <w:p>
      <w:pPr>
        <w:pStyle w:val="0"/>
        <w:snapToGrid w:val="0"/>
        <w:rPr>
          <w:rFonts w:hint="default" w:ascii="游ゴシック" w:hAnsi="游ゴシック" w:eastAsia="游ゴシック"/>
        </w:rPr>
      </w:pPr>
    </w:p>
    <w:p>
      <w:pPr>
        <w:pStyle w:val="0"/>
        <w:snapToGrid w:val="0"/>
        <w:jc w:val="center"/>
        <w:rPr>
          <w:rFonts w:hint="default" w:ascii="游ゴシック" w:hAnsi="游ゴシック" w:eastAsia="游ゴシック"/>
          <w:b w:val="1"/>
          <w:w w:val="90"/>
          <w:sz w:val="24"/>
        </w:rPr>
      </w:pPr>
      <w:r>
        <w:rPr>
          <w:rFonts w:hint="eastAsia" w:ascii="游ゴシック" w:hAnsi="游ゴシック" w:eastAsia="游ゴシック"/>
          <w:b w:val="1"/>
          <w:w w:val="90"/>
          <w:sz w:val="24"/>
        </w:rPr>
        <w:t>介護保険法第７８条の２第４項各号及び</w:t>
      </w:r>
      <w:r>
        <w:rPr>
          <w:rFonts w:hint="eastAsia" w:ascii="游ゴシック" w:hAnsi="游ゴシック" w:eastAsia="游ゴシック"/>
          <w:b w:val="1"/>
          <w:snapToGrid w:val="0"/>
          <w:w w:val="90"/>
          <w:sz w:val="24"/>
        </w:rPr>
        <w:t>第１１５条の１２第２項各号</w:t>
      </w:r>
      <w:r>
        <w:rPr>
          <w:rFonts w:hint="eastAsia" w:ascii="游ゴシック" w:hAnsi="游ゴシック" w:eastAsia="游ゴシック"/>
          <w:b w:val="1"/>
          <w:w w:val="90"/>
          <w:sz w:val="24"/>
        </w:rPr>
        <w:t>の規定に該当しない旨の誓約書</w:t>
      </w:r>
    </w:p>
    <w:p>
      <w:pPr>
        <w:pStyle w:val="0"/>
        <w:snapToGrid w:val="0"/>
        <w:rPr>
          <w:rFonts w:hint="default" w:ascii="游ゴシック" w:hAnsi="游ゴシック" w:eastAsia="游ゴシック"/>
        </w:rPr>
      </w:pPr>
    </w:p>
    <w:p>
      <w:pPr>
        <w:pStyle w:val="0"/>
        <w:snapToGrid w:val="0"/>
        <w:ind w:right="107"/>
        <w:jc w:val="right"/>
        <w:rPr>
          <w:rFonts w:hint="default" w:ascii="游ゴシック" w:hAnsi="游ゴシック" w:eastAsia="游ゴシック"/>
        </w:rPr>
      </w:pPr>
      <w:r>
        <w:rPr>
          <w:rFonts w:hint="eastAsia" w:ascii="游ゴシック" w:hAnsi="游ゴシック" w:eastAsia="游ゴシック"/>
        </w:rPr>
        <w:t>　　年　　月　　日</w:t>
      </w:r>
    </w:p>
    <w:p>
      <w:pPr>
        <w:pStyle w:val="0"/>
        <w:snapToGrid w:val="0"/>
        <w:ind w:firstLine="210" w:firstLineChars="100"/>
        <w:rPr>
          <w:rFonts w:hint="default" w:ascii="游ゴシック" w:hAnsi="游ゴシック" w:eastAsia="游ゴシック"/>
        </w:rPr>
      </w:pPr>
      <w:r>
        <w:rPr>
          <w:rFonts w:hint="eastAsia" w:ascii="游ゴシック" w:hAnsi="游ゴシック" w:eastAsia="游ゴシック"/>
        </w:rPr>
        <w:t>常陸大宮市長</w:t>
      </w:r>
      <w:bookmarkStart w:id="0" w:name="_GoBack"/>
      <w:bookmarkEnd w:id="0"/>
      <w:r>
        <w:rPr>
          <w:rFonts w:hint="eastAsia" w:ascii="游ゴシック" w:hAnsi="游ゴシック" w:eastAsia="游ゴシック"/>
        </w:rPr>
        <w:t>　殿</w:t>
      </w:r>
    </w:p>
    <w:p>
      <w:pPr>
        <w:pStyle w:val="0"/>
        <w:snapToGrid w:val="0"/>
        <w:rPr>
          <w:rFonts w:hint="default" w:ascii="游ゴシック" w:hAnsi="游ゴシック" w:eastAsia="游ゴシック"/>
        </w:rPr>
      </w:pPr>
    </w:p>
    <w:p>
      <w:pPr>
        <w:pStyle w:val="0"/>
        <w:snapToGrid w:val="0"/>
        <w:ind w:left="4200" w:firstLine="210"/>
        <w:rPr>
          <w:rFonts w:hint="default" w:ascii="游ゴシック" w:hAnsi="游ゴシック" w:eastAsia="游ゴシック"/>
        </w:rPr>
      </w:pPr>
      <w:r>
        <w:rPr>
          <w:rFonts w:hint="eastAsia" w:ascii="游ゴシック" w:hAnsi="游ゴシック" w:eastAsia="游ゴシック"/>
        </w:rPr>
        <w:t>所</w:t>
      </w:r>
      <w:r>
        <w:rPr>
          <w:rFonts w:hint="eastAsia" w:ascii="游ゴシック" w:hAnsi="游ゴシック" w:eastAsia="游ゴシック"/>
        </w:rPr>
        <w:t xml:space="preserve"> </w:t>
      </w:r>
      <w:r>
        <w:rPr>
          <w:rFonts w:hint="eastAsia" w:ascii="游ゴシック" w:hAnsi="游ゴシック" w:eastAsia="游ゴシック"/>
        </w:rPr>
        <w:t>在</w:t>
      </w:r>
      <w:r>
        <w:rPr>
          <w:rFonts w:hint="eastAsia" w:ascii="游ゴシック" w:hAnsi="游ゴシック" w:eastAsia="游ゴシック"/>
        </w:rPr>
        <w:t xml:space="preserve"> </w:t>
      </w:r>
      <w:r>
        <w:rPr>
          <w:rFonts w:hint="eastAsia" w:ascii="游ゴシック" w:hAnsi="游ゴシック" w:eastAsia="游ゴシック"/>
        </w:rPr>
        <w:t>地</w:t>
      </w:r>
    </w:p>
    <w:p>
      <w:pPr>
        <w:pStyle w:val="0"/>
        <w:snapToGrid w:val="0"/>
        <w:ind w:firstLine="3570"/>
        <w:rPr>
          <w:rFonts w:hint="default" w:ascii="游ゴシック" w:hAnsi="游ゴシック" w:eastAsia="游ゴシック"/>
        </w:rPr>
      </w:pPr>
      <w:r>
        <w:rPr>
          <w:rFonts w:hint="eastAsia" w:ascii="游ゴシック" w:hAnsi="游ゴシック" w:eastAsia="游ゴシック"/>
        </w:rPr>
        <w:t>申請者　名　　称</w:t>
      </w:r>
    </w:p>
    <w:p>
      <w:pPr>
        <w:pStyle w:val="0"/>
        <w:snapToGrid w:val="0"/>
        <w:ind w:firstLine="4410"/>
        <w:rPr>
          <w:rFonts w:hint="default" w:ascii="游ゴシック" w:hAnsi="游ゴシック" w:eastAsia="游ゴシック"/>
        </w:rPr>
      </w:pPr>
      <w:r>
        <w:rPr>
          <w:rFonts w:hint="eastAsia" w:ascii="游ゴシック" w:hAnsi="游ゴシック" w:eastAsia="游ゴシック"/>
        </w:rPr>
        <w:t>代表者名　　　　　　　　　　　　　　　　　　印</w:t>
      </w:r>
    </w:p>
    <w:p>
      <w:pPr>
        <w:pStyle w:val="0"/>
        <w:snapToGrid w:val="0"/>
        <w:ind w:firstLine="4410"/>
        <w:rPr>
          <w:rFonts w:hint="default" w:ascii="游ゴシック" w:hAnsi="游ゴシック" w:eastAsia="游ゴシック"/>
        </w:rPr>
      </w:pPr>
      <w:r>
        <w:rPr>
          <w:rFonts w:hint="eastAsia" w:ascii="游ゴシック" w:hAnsi="游ゴシック" w:eastAsia="游ゴシック"/>
        </w:rPr>
        <w:t>住　　所</w:t>
      </w:r>
    </w:p>
    <w:p>
      <w:pPr>
        <w:pStyle w:val="0"/>
        <w:snapToGrid w:val="0"/>
        <w:rPr>
          <w:rFonts w:hint="default" w:ascii="游ゴシック" w:hAnsi="游ゴシック" w:eastAsia="游ゴシック"/>
        </w:rPr>
      </w:pPr>
    </w:p>
    <w:p>
      <w:pPr>
        <w:pStyle w:val="0"/>
        <w:snapToGrid w:val="0"/>
        <w:ind w:firstLine="210" w:firstLineChars="100"/>
        <w:rPr>
          <w:rFonts w:hint="default" w:ascii="游ゴシック" w:hAnsi="游ゴシック" w:eastAsia="游ゴシック"/>
        </w:rPr>
      </w:pPr>
      <w:r>
        <w:rPr>
          <w:rFonts w:hint="eastAsia" w:ascii="游ゴシック" w:hAnsi="游ゴシック" w:eastAsia="游ゴシック"/>
        </w:rPr>
        <w:t>申請者が下記のいずれにも該当しない者であることを誓約します。</w:t>
      </w:r>
    </w:p>
    <w:p>
      <w:pPr>
        <w:pStyle w:val="0"/>
        <w:snapToGrid w:val="0"/>
        <w:rPr>
          <w:rFonts w:hint="default" w:ascii="游ゴシック" w:hAnsi="游ゴシック" w:eastAsia="游ゴシック"/>
        </w:rPr>
      </w:pPr>
      <w:r>
        <w:rPr>
          <w:rFonts w:hint="eastAsia" w:ascii="游ゴシック" w:hAnsi="游ゴシック" w:eastAsia="游ゴシック"/>
        </w:rPr>
        <w:t>　　　　　　　　　　　　　　　　　　　　　　記</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1"/>
      </w:tblGrid>
      <w:tr>
        <w:trPr>
          <w:trHeight w:val="4920" w:hRule="atLeast"/>
        </w:trPr>
        <w:tc>
          <w:tcPr>
            <w:tcW w:w="9781" w:type="dxa"/>
            <w:vAlign w:val="top"/>
          </w:tcPr>
          <w:p>
            <w:pPr>
              <w:pStyle w:val="0"/>
              <w:snapToGrid w:val="0"/>
              <w:spacing w:line="240" w:lineRule="exact"/>
              <w:ind w:left="256" w:hanging="212"/>
              <w:rPr>
                <w:rFonts w:hint="default" w:ascii="游ゴシック" w:hAnsi="游ゴシック" w:eastAsia="游ゴシック"/>
                <w:snapToGrid w:val="0"/>
              </w:rPr>
            </w:pPr>
          </w:p>
          <w:p>
            <w:pPr>
              <w:pStyle w:val="0"/>
              <w:snapToGrid w:val="0"/>
              <w:spacing w:line="240" w:lineRule="exact"/>
              <w:ind w:left="256" w:hanging="212"/>
              <w:rPr>
                <w:rFonts w:hint="default" w:ascii="游ゴシック" w:hAnsi="游ゴシック" w:eastAsia="游ゴシック"/>
                <w:snapToGrid w:val="0"/>
              </w:rPr>
            </w:pPr>
            <w:r>
              <w:rPr>
                <w:rFonts w:hint="eastAsia" w:ascii="游ゴシック" w:hAnsi="游ゴシック" w:eastAsia="游ゴシック"/>
                <w:snapToGrid w:val="0"/>
              </w:rPr>
              <w:t>【介護保険法第第７８条の２第４項】</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一　</w:t>
            </w:r>
            <w:r>
              <w:rPr>
                <w:rFonts w:hint="default" w:ascii="游ゴシック" w:hAnsi="游ゴシック" w:eastAsia="游ゴシック"/>
              </w:rPr>
              <w:t>申請者が</w:t>
            </w:r>
            <w:r>
              <w:rPr>
                <w:rFonts w:hint="eastAsia" w:ascii="游ゴシック" w:hAnsi="游ゴシック" w:eastAsia="游ゴシック"/>
              </w:rPr>
              <w:t>市町村の条例で定める者</w:t>
            </w:r>
            <w:r>
              <w:rPr>
                <w:rFonts w:hint="default" w:ascii="游ゴシック" w:hAnsi="游ゴシック" w:eastAsia="游ゴシック"/>
              </w:rPr>
              <w:t>でないとき。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二　</w:t>
            </w:r>
            <w:r>
              <w:rPr>
                <w:rFonts w:hint="default" w:ascii="游ゴシック" w:hAnsi="游ゴシック" w:eastAsia="游ゴシック"/>
              </w:rPr>
              <w:t>当該申請に係る事業所の従業者の知識及び技能並びに人員が，第</w:t>
            </w:r>
            <w:r>
              <w:rPr>
                <w:rFonts w:hint="eastAsia" w:ascii="游ゴシック" w:hAnsi="游ゴシック" w:eastAsia="游ゴシック"/>
              </w:rPr>
              <w:t>７８</w:t>
            </w:r>
            <w:r>
              <w:rPr>
                <w:rFonts w:hint="default" w:ascii="游ゴシック" w:hAnsi="游ゴシック" w:eastAsia="游ゴシック"/>
              </w:rPr>
              <w:t>条の</w:t>
            </w:r>
            <w:r>
              <w:rPr>
                <w:rFonts w:hint="eastAsia" w:ascii="游ゴシック" w:hAnsi="游ゴシック" w:eastAsia="游ゴシック"/>
              </w:rPr>
              <w:t>４</w:t>
            </w:r>
            <w:r>
              <w:rPr>
                <w:rFonts w:hint="default" w:ascii="游ゴシック" w:hAnsi="游ゴシック" w:eastAsia="游ゴシック"/>
              </w:rPr>
              <w:t>第</w:t>
            </w:r>
            <w:r>
              <w:rPr>
                <w:rFonts w:hint="eastAsia" w:ascii="游ゴシック" w:hAnsi="游ゴシック" w:eastAsia="游ゴシック"/>
              </w:rPr>
              <w:t>１</w:t>
            </w:r>
            <w:r>
              <w:rPr>
                <w:rFonts w:hint="default" w:ascii="游ゴシック" w:hAnsi="游ゴシック" w:eastAsia="游ゴシック"/>
              </w:rPr>
              <w:t>項の</w:t>
            </w:r>
            <w:r>
              <w:rPr>
                <w:rFonts w:hint="eastAsia" w:ascii="游ゴシック" w:hAnsi="游ゴシック" w:eastAsia="游ゴシック"/>
              </w:rPr>
              <w:t>市町村の条例</w:t>
            </w:r>
            <w:r>
              <w:rPr>
                <w:rFonts w:hint="default" w:ascii="游ゴシック" w:hAnsi="游ゴシック" w:eastAsia="游ゴシック"/>
              </w:rPr>
              <w:t>で定める基準若しくは同項の</w:t>
            </w:r>
            <w:r>
              <w:rPr>
                <w:rFonts w:hint="eastAsia" w:ascii="游ゴシック" w:hAnsi="游ゴシック" w:eastAsia="游ゴシック"/>
              </w:rPr>
              <w:t>市町村の条例</w:t>
            </w:r>
            <w:r>
              <w:rPr>
                <w:rFonts w:hint="default" w:ascii="游ゴシック" w:hAnsi="游ゴシック" w:eastAsia="游ゴシック"/>
              </w:rPr>
              <w:t>で定める員数又は同条第</w:t>
            </w:r>
            <w:r>
              <w:rPr>
                <w:rFonts w:hint="eastAsia" w:ascii="游ゴシック" w:hAnsi="游ゴシック" w:eastAsia="游ゴシック"/>
              </w:rPr>
              <w:t>五</w:t>
            </w:r>
            <w:r>
              <w:rPr>
                <w:rFonts w:hint="default" w:ascii="游ゴシック" w:hAnsi="游ゴシック" w:eastAsia="游ゴシック"/>
              </w:rPr>
              <w:t>項に規定する指定地域密着型サービスに従事する従業者に関する基準を満たしていないとき。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三　</w:t>
            </w:r>
            <w:r>
              <w:rPr>
                <w:rFonts w:hint="default" w:ascii="游ゴシック" w:hAnsi="游ゴシック" w:eastAsia="游ゴシック"/>
              </w:rPr>
              <w:t>申請者が，第</w:t>
            </w:r>
            <w:r>
              <w:rPr>
                <w:rFonts w:hint="eastAsia" w:ascii="游ゴシック" w:hAnsi="游ゴシック" w:eastAsia="游ゴシック"/>
              </w:rPr>
              <w:t>７８</w:t>
            </w:r>
            <w:r>
              <w:rPr>
                <w:rFonts w:hint="default" w:ascii="游ゴシック" w:hAnsi="游ゴシック" w:eastAsia="游ゴシック"/>
              </w:rPr>
              <w:t>条の</w:t>
            </w:r>
            <w:r>
              <w:rPr>
                <w:rFonts w:hint="eastAsia" w:ascii="游ゴシック" w:hAnsi="游ゴシック" w:eastAsia="游ゴシック"/>
              </w:rPr>
              <w:t>４</w:t>
            </w:r>
            <w:r>
              <w:rPr>
                <w:rFonts w:hint="default" w:ascii="游ゴシック" w:hAnsi="游ゴシック" w:eastAsia="游ゴシック"/>
              </w:rPr>
              <w:t>第</w:t>
            </w:r>
            <w:r>
              <w:rPr>
                <w:rFonts w:hint="eastAsia" w:ascii="游ゴシック" w:hAnsi="游ゴシック" w:eastAsia="游ゴシック"/>
              </w:rPr>
              <w:t>２</w:t>
            </w:r>
            <w:r>
              <w:rPr>
                <w:rFonts w:hint="default" w:ascii="游ゴシック" w:hAnsi="游ゴシック" w:eastAsia="游ゴシック"/>
              </w:rPr>
              <w:t>項又は第</w:t>
            </w:r>
            <w:r>
              <w:rPr>
                <w:rFonts w:hint="eastAsia" w:ascii="游ゴシック" w:hAnsi="游ゴシック" w:eastAsia="游ゴシック"/>
              </w:rPr>
              <w:t>５</w:t>
            </w:r>
            <w:r>
              <w:rPr>
                <w:rFonts w:hint="default" w:ascii="游ゴシック" w:hAnsi="游ゴシック" w:eastAsia="游ゴシック"/>
              </w:rPr>
              <w:t>項に規定する指定地域密着型サービスの事業の設備及び運営に関する基準に従って適正な地域密着型サービス事業の運営をすることができないと認められるとき。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四　</w:t>
            </w:r>
            <w:r>
              <w:rPr>
                <w:rFonts w:hint="default" w:ascii="游ゴシック" w:hAnsi="游ゴシック" w:eastAsia="游ゴシック"/>
              </w:rPr>
              <w:t>当該申請に係る事業所が当該市町村の区域の外にある場合であって，その所在地の市町村長</w:t>
            </w:r>
            <w:r>
              <w:rPr>
                <w:rFonts w:hint="eastAsia" w:ascii="游ゴシック" w:hAnsi="游ゴシック" w:eastAsia="游ゴシック"/>
              </w:rPr>
              <w:t>（以下この条において「所在地市町村長」という。）</w:t>
            </w:r>
            <w:r>
              <w:rPr>
                <w:rFonts w:hint="default" w:ascii="游ゴシック" w:hAnsi="游ゴシック" w:eastAsia="游ゴシック"/>
              </w:rPr>
              <w:t>の同意を得ていないとき。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四の二　申請者が，禁錮以上の刑に処せられ，その執行を終わり，又は執行を受けることがなくなるまでの者であるとき。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五　</w:t>
            </w:r>
            <w:r>
              <w:rPr>
                <w:rFonts w:hint="default" w:ascii="游ゴシック" w:hAnsi="游ゴシック" w:eastAsia="游ゴシック"/>
              </w:rPr>
              <w:t>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五の二　申請者が，労働に関する法律であって政令で定めるものにより罰金の刑に処せられ，その執行を終わり，又は執行を受けることがなくなるまでの者であるとき。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五の三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六　</w:t>
            </w:r>
            <w:r>
              <w:rPr>
                <w:rFonts w:hint="default" w:ascii="游ゴシック" w:hAnsi="游ゴシック" w:eastAsia="游ゴシック"/>
              </w:rPr>
              <w:t>申請者</w:t>
            </w:r>
            <w:r>
              <w:rPr>
                <w:rFonts w:hint="eastAsia" w:ascii="游ゴシック" w:hAnsi="游ゴシック" w:eastAsia="游ゴシック"/>
              </w:rPr>
              <w:t>（認知症対応型共同生活介護，地域密着型特定施設入居者生活介護又は地域密着型介護老人福祉施設入所者生活介護に係る指定の申請者を除く。）</w:t>
            </w:r>
            <w:r>
              <w:rPr>
                <w:rFonts w:hint="default" w:ascii="游ゴシック" w:hAnsi="游ゴシック" w:eastAsia="游ゴシック"/>
              </w:rPr>
              <w:t>が，第</w:t>
            </w:r>
            <w:r>
              <w:rPr>
                <w:rFonts w:hint="eastAsia" w:ascii="游ゴシック" w:hAnsi="游ゴシック" w:eastAsia="游ゴシック"/>
              </w:rPr>
              <w:t>７８</w:t>
            </w:r>
            <w:r>
              <w:rPr>
                <w:rFonts w:hint="default" w:ascii="游ゴシック" w:hAnsi="游ゴシック" w:eastAsia="游ゴシック"/>
              </w:rPr>
              <w:t>条の</w:t>
            </w:r>
            <w:r>
              <w:rPr>
                <w:rFonts w:hint="eastAsia" w:ascii="游ゴシック" w:hAnsi="游ゴシック" w:eastAsia="游ゴシック"/>
              </w:rPr>
              <w:t>１０</w:t>
            </w:r>
            <w:r>
              <w:rPr>
                <w:rFonts w:hint="default" w:ascii="游ゴシック" w:hAnsi="游ゴシック" w:eastAsia="游ゴシック"/>
              </w:rPr>
              <w:t>（第</w:t>
            </w:r>
            <w:r>
              <w:rPr>
                <w:rFonts w:hint="eastAsia" w:ascii="游ゴシック" w:hAnsi="游ゴシック" w:eastAsia="游ゴシック"/>
              </w:rPr>
              <w:t>二</w:t>
            </w:r>
            <w:r>
              <w:rPr>
                <w:rFonts w:hint="default" w:ascii="游ゴシック" w:hAnsi="游ゴシック" w:eastAsia="游ゴシック"/>
              </w:rPr>
              <w:t>号から第</w:t>
            </w:r>
            <w:r>
              <w:rPr>
                <w:rFonts w:hint="eastAsia" w:ascii="游ゴシック" w:hAnsi="游ゴシック" w:eastAsia="游ゴシック"/>
              </w:rPr>
              <w:t>五</w:t>
            </w:r>
            <w:r>
              <w:rPr>
                <w:rFonts w:hint="default" w:ascii="游ゴシック" w:hAnsi="游ゴシック" w:eastAsia="游ゴシック"/>
              </w:rPr>
              <w:t>号までを除く。）の規定により指定</w:t>
            </w:r>
            <w:r>
              <w:rPr>
                <w:rFonts w:hint="eastAsia" w:ascii="游ゴシック" w:hAnsi="游ゴシック" w:eastAsia="游ゴシック"/>
              </w:rPr>
              <w:t>（認知症対応型共同生活介護，地域密着型特定施設入居者生活介護又は地域密着型介護老人福祉施設入所者生活介護に係る指定を除く。）</w:t>
            </w:r>
            <w:r>
              <w:rPr>
                <w:rFonts w:hint="default" w:ascii="游ゴシック" w:hAnsi="游ゴシック" w:eastAsia="游ゴシック"/>
              </w:rPr>
              <w:t>を取り消され，その取消しの日から起算して</w:t>
            </w:r>
            <w:r>
              <w:rPr>
                <w:rFonts w:hint="eastAsia" w:ascii="游ゴシック" w:hAnsi="游ゴシック" w:eastAsia="游ゴシック"/>
              </w:rPr>
              <w:t>５</w:t>
            </w:r>
            <w:r>
              <w:rPr>
                <w:rFonts w:hint="default" w:ascii="游ゴシック" w:hAnsi="游ゴシック" w:eastAsia="游ゴシック"/>
              </w:rPr>
              <w:t>年を経過しない者</w:t>
            </w:r>
            <w:r>
              <w:rPr>
                <w:rFonts w:hint="eastAsia" w:ascii="游ゴシック" w:hAnsi="游ゴシック" w:eastAsia="游ゴシック"/>
              </w:rPr>
              <w:t>（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w:t>
            </w:r>
            <w:r>
              <w:rPr>
                <w:rFonts w:hint="default" w:ascii="游ゴシック" w:hAnsi="游ゴシック" w:eastAsia="游ゴシック"/>
              </w:rPr>
              <w:t>であるとき。</w:t>
            </w:r>
            <w:r>
              <w:rPr>
                <w:rFonts w:hint="eastAsia" w:ascii="游ゴシック" w:hAnsi="游ゴシック" w:eastAsia="游ゴシック"/>
              </w:rPr>
              <w:t>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六の二　申請者（認知症対応型共同生活介護，地域密着型特定施設入居者生活介護又は地域密着型介護老人福祉施設入所者生活介護に係る指定の申請者に限る。）が，第７８条の１０（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地域密着型サービス事業者が有していた責任の程度を考慮して，この号本文に規定する指定の取消しに該当しないこととすることが相当であると認められるものとして厚生労働省で定めるものに該当する場合を除く。</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六の三　申請者と密接な関係を有する者（地域密着型介護老人福祉施設入所者生活介護に係る指定の申請者と密接な関係を有する者を除く。）が，第７８条の１０（第二号から第五号までを除く。）の規定により指定を取り消され，その取消しの日から起算して５年を経過していないとき。ただし，当該指定の取消しが，指定地域密着型サービス事業者の指定の取消しのうち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七　</w:t>
            </w:r>
            <w:r>
              <w:rPr>
                <w:rFonts w:hint="default" w:ascii="游ゴシック" w:hAnsi="游ゴシック" w:eastAsia="游ゴシック"/>
              </w:rPr>
              <w:t>申請者が，第</w:t>
            </w:r>
            <w:r>
              <w:rPr>
                <w:rFonts w:hint="eastAsia" w:ascii="游ゴシック" w:hAnsi="游ゴシック" w:eastAsia="游ゴシック"/>
              </w:rPr>
              <w:t>７８</w:t>
            </w:r>
            <w:r>
              <w:rPr>
                <w:rFonts w:hint="default" w:ascii="游ゴシック" w:hAnsi="游ゴシック" w:eastAsia="游ゴシック"/>
              </w:rPr>
              <w:t>条の</w:t>
            </w:r>
            <w:r>
              <w:rPr>
                <w:rFonts w:hint="eastAsia" w:ascii="游ゴシック" w:hAnsi="游ゴシック" w:eastAsia="游ゴシック"/>
              </w:rPr>
              <w:t>１０</w:t>
            </w:r>
            <w:r>
              <w:rPr>
                <w:rFonts w:hint="default" w:ascii="游ゴシック" w:hAnsi="游ゴシック" w:eastAsia="游ゴシック"/>
              </w:rPr>
              <w:t>（第</w:t>
            </w:r>
            <w:r>
              <w:rPr>
                <w:rFonts w:hint="eastAsia" w:ascii="游ゴシック" w:hAnsi="游ゴシック" w:eastAsia="游ゴシック"/>
              </w:rPr>
              <w:t>二</w:t>
            </w:r>
            <w:r>
              <w:rPr>
                <w:rFonts w:hint="default" w:ascii="游ゴシック" w:hAnsi="游ゴシック" w:eastAsia="游ゴシック"/>
              </w:rPr>
              <w:t>号から第</w:t>
            </w:r>
            <w:r>
              <w:rPr>
                <w:rFonts w:hint="eastAsia" w:ascii="游ゴシック" w:hAnsi="游ゴシック" w:eastAsia="游ゴシック"/>
              </w:rPr>
              <w:t>五</w:t>
            </w:r>
            <w:r>
              <w:rPr>
                <w:rFonts w:hint="default" w:ascii="游ゴシック" w:hAnsi="游ゴシック" w:eastAsia="游ゴシック"/>
              </w:rPr>
              <w:t>号までを除く。）の規定による指定の取消しの処分に係る</w:t>
            </w:r>
            <w:r>
              <w:rPr>
                <w:rFonts w:hint="eastAsia"/>
              </w:rPr>
              <w:fldChar w:fldCharType="begin"/>
            </w:r>
            <w:r>
              <w:rPr>
                <w:rFonts w:hint="eastAsia"/>
              </w:rPr>
              <w:instrText xml:space="preserve"> HYPERLINK "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\l "1000000000000000000000000000000000000000"</w:instrText>
            </w:r>
            <w:r>
              <w:rPr>
                <w:rFonts w:hint="eastAsia"/>
              </w:rPr>
              <w:fldChar w:fldCharType="separate"/>
            </w:r>
            <w:r>
              <w:rPr>
                <w:rStyle w:val="15"/>
                <w:rFonts w:hint="default" w:ascii="游ゴシック" w:hAnsi="游ゴシック" w:eastAsia="游ゴシック"/>
                <w:color w:val="auto"/>
                <w:u w:val="none" w:color="auto"/>
              </w:rPr>
              <w:t>行政手続法第</w:t>
            </w:r>
            <w:r>
              <w:rPr>
                <w:rStyle w:val="15"/>
                <w:rFonts w:hint="eastAsia" w:ascii="游ゴシック" w:hAnsi="游ゴシック" w:eastAsia="游ゴシック"/>
                <w:color w:val="auto"/>
                <w:u w:val="none" w:color="auto"/>
              </w:rPr>
              <w:t>１５</w:t>
            </w:r>
            <w:r>
              <w:rPr>
                <w:rStyle w:val="15"/>
                <w:rFonts w:hint="default" w:ascii="游ゴシック" w:hAnsi="游ゴシック" w:eastAsia="游ゴシック"/>
                <w:color w:val="auto"/>
                <w:u w:val="none" w:color="auto"/>
              </w:rPr>
              <w:t>条</w:t>
            </w:r>
            <w:r>
              <w:rPr>
                <w:rFonts w:hint="eastAsia"/>
              </w:rPr>
              <w:fldChar w:fldCharType="end"/>
            </w:r>
            <w:r>
              <w:rPr>
                <w:rFonts w:hint="default" w:ascii="游ゴシック" w:hAnsi="游ゴシック" w:eastAsia="游ゴシック"/>
              </w:rPr>
              <w:t>の規定による通知があった日から当該処分をする日又は処分をしないことを決定する日までの間に</w:t>
            </w:r>
            <w:r>
              <w:rPr>
                <w:rFonts w:hint="eastAsia"/>
              </w:rPr>
              <w:fldChar w:fldCharType="begin"/>
            </w:r>
            <w:r>
              <w:rPr>
                <w:rFonts w:hint="eastAsia"/>
              </w:rPr>
              <w:instrText xml:space="preserve"> HYPERLINK "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 \l "1000000000000000000000000000000000000000"</w:instrText>
            </w:r>
            <w:r>
              <w:rPr>
                <w:rFonts w:hint="eastAsia"/>
              </w:rPr>
              <w:fldChar w:fldCharType="separate"/>
            </w:r>
            <w:r>
              <w:rPr>
                <w:rStyle w:val="15"/>
                <w:rFonts w:hint="default" w:ascii="游ゴシック" w:hAnsi="游ゴシック" w:eastAsia="游ゴシック"/>
                <w:color w:val="auto"/>
                <w:u w:val="none" w:color="auto"/>
              </w:rPr>
              <w:t>第</w:t>
            </w:r>
            <w:r>
              <w:rPr>
                <w:rStyle w:val="15"/>
                <w:rFonts w:hint="eastAsia" w:ascii="游ゴシック" w:hAnsi="游ゴシック" w:eastAsia="游ゴシック"/>
                <w:color w:val="auto"/>
                <w:u w:val="none" w:color="auto"/>
              </w:rPr>
              <w:t>７８</w:t>
            </w:r>
            <w:r>
              <w:rPr>
                <w:rStyle w:val="15"/>
                <w:rFonts w:hint="default" w:ascii="游ゴシック" w:hAnsi="游ゴシック" w:eastAsia="游ゴシック"/>
                <w:color w:val="auto"/>
                <w:u w:val="none" w:color="auto"/>
              </w:rPr>
              <w:t>条の</w:t>
            </w:r>
            <w:r>
              <w:rPr>
                <w:rStyle w:val="15"/>
                <w:rFonts w:hint="eastAsia" w:ascii="游ゴシック" w:hAnsi="游ゴシック" w:eastAsia="游ゴシック"/>
                <w:color w:val="auto"/>
                <w:u w:val="none" w:color="auto"/>
              </w:rPr>
              <w:t>５</w:t>
            </w:r>
            <w:r>
              <w:rPr>
                <w:rFonts w:hint="eastAsia"/>
              </w:rPr>
              <w:fldChar w:fldCharType="end"/>
            </w:r>
            <w:r>
              <w:rPr>
                <w:rFonts w:hint="eastAsia" w:ascii="游ゴシック" w:hAnsi="游ゴシック" w:eastAsia="游ゴシック"/>
              </w:rPr>
              <w:t>第２項</w:t>
            </w:r>
            <w:r>
              <w:rPr>
                <w:rFonts w:hint="default" w:ascii="游ゴシック" w:hAnsi="游ゴシック" w:eastAsia="游ゴシック"/>
              </w:rPr>
              <w:t>の規定による事業の廃止の届出をした者（当該事業の廃止について相当の理由がある者を除く。）又は</w:t>
            </w:r>
            <w:r>
              <w:rPr>
                <w:rFonts w:hint="eastAsia"/>
              </w:rPr>
              <w:fldChar w:fldCharType="begin"/>
            </w:r>
            <w:r>
              <w:rPr>
                <w:rFonts w:hint="eastAsia"/>
              </w:rPr>
              <w:instrText xml:space="preserve"> HYPERLINK "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 \l "1000000000000000000000000000000000000000"</w:instrText>
            </w:r>
            <w:r>
              <w:rPr>
                <w:rFonts w:hint="eastAsia"/>
              </w:rPr>
              <w:fldChar w:fldCharType="separate"/>
            </w:r>
            <w:r>
              <w:rPr>
                <w:rStyle w:val="15"/>
                <w:rFonts w:hint="default" w:ascii="游ゴシック" w:hAnsi="游ゴシック" w:eastAsia="游ゴシック"/>
                <w:color w:val="auto"/>
                <w:u w:val="none" w:color="auto"/>
              </w:rPr>
              <w:t>第</w:t>
            </w:r>
            <w:r>
              <w:rPr>
                <w:rStyle w:val="15"/>
                <w:rFonts w:hint="eastAsia" w:ascii="游ゴシック" w:hAnsi="游ゴシック" w:eastAsia="游ゴシック"/>
                <w:color w:val="auto"/>
                <w:u w:val="none" w:color="auto"/>
              </w:rPr>
              <w:t>７８</w:t>
            </w:r>
            <w:r>
              <w:rPr>
                <w:rStyle w:val="15"/>
                <w:rFonts w:hint="default" w:ascii="游ゴシック" w:hAnsi="游ゴシック" w:eastAsia="游ゴシック"/>
                <w:color w:val="auto"/>
                <w:u w:val="none" w:color="auto"/>
              </w:rPr>
              <w:t>条の</w:t>
            </w:r>
            <w:r>
              <w:rPr>
                <w:rFonts w:hint="eastAsia"/>
              </w:rPr>
              <w:fldChar w:fldCharType="end"/>
            </w:r>
            <w:r>
              <w:rPr>
                <w:rFonts w:hint="eastAsia" w:ascii="游ゴシック" w:hAnsi="游ゴシック" w:eastAsia="游ゴシック"/>
              </w:rPr>
              <w:t>８</w:t>
            </w:r>
            <w:r>
              <w:rPr>
                <w:rFonts w:hint="default" w:ascii="游ゴシック" w:hAnsi="游ゴシック" w:eastAsia="游ゴシック"/>
              </w:rPr>
              <w:t>の規定による指定の辞退をした者（当該指定の辞退について相当の理由がある者を除く。）で，当該届出又は指定の辞退の日から起算して</w:t>
            </w:r>
            <w:r>
              <w:rPr>
                <w:rFonts w:hint="eastAsia" w:ascii="游ゴシック" w:hAnsi="游ゴシック" w:eastAsia="游ゴシック"/>
              </w:rPr>
              <w:t>５</w:t>
            </w:r>
            <w:r>
              <w:rPr>
                <w:rFonts w:hint="default" w:ascii="游ゴシック" w:hAnsi="游ゴシック" w:eastAsia="游ゴシック"/>
              </w:rPr>
              <w:t>年を経過しないものであるとき。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七の二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八　</w:t>
            </w:r>
            <w:r>
              <w:rPr>
                <w:rFonts w:hint="default" w:ascii="游ゴシック" w:hAnsi="游ゴシック" w:eastAsia="游ゴシック"/>
              </w:rPr>
              <w:t>申請者が，指定の申請前</w:t>
            </w:r>
            <w:r>
              <w:rPr>
                <w:rFonts w:hint="eastAsia" w:ascii="游ゴシック" w:hAnsi="游ゴシック" w:eastAsia="游ゴシック"/>
              </w:rPr>
              <w:t>５</w:t>
            </w:r>
            <w:r>
              <w:rPr>
                <w:rFonts w:hint="default" w:ascii="游ゴシック" w:hAnsi="游ゴシック" w:eastAsia="游ゴシック"/>
              </w:rPr>
              <w:t>年以内に居宅サービス等に関し不正又は著しく不当な行為をした者であるとき。</w:t>
            </w:r>
            <w:r>
              <w:rPr>
                <w:rFonts w:hint="default" w:ascii="游ゴシック" w:hAnsi="游ゴシック" w:eastAsia="游ゴシック"/>
              </w:rPr>
              <w:t xml:space="preserve"> </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九　</w:t>
            </w:r>
            <w:r>
              <w:rPr>
                <w:rFonts w:hint="default" w:ascii="游ゴシック" w:hAnsi="游ゴシック" w:eastAsia="游ゴシック"/>
              </w:rPr>
              <w:t>申請者</w:t>
            </w:r>
            <w:r>
              <w:rPr>
                <w:rFonts w:hint="eastAsia" w:ascii="游ゴシック" w:hAnsi="游ゴシック" w:eastAsia="游ゴシック"/>
              </w:rPr>
              <w:t>（認知症対応型共同生活介護，地域密着型特定施設入居者生活介護又は地域密着型介護老人福祉施設入所者生活介護に係る指定の申請者を除く。）が，法人で，そ</w:t>
            </w:r>
            <w:r>
              <w:rPr>
                <w:rFonts w:hint="default" w:ascii="游ゴシック" w:hAnsi="游ゴシック" w:eastAsia="游ゴシック"/>
              </w:rPr>
              <w:t>の役員等のうちに</w:t>
            </w:r>
            <w:r>
              <w:rPr>
                <w:rFonts w:hint="eastAsia" w:ascii="游ゴシック" w:hAnsi="游ゴシック" w:eastAsia="游ゴシック"/>
              </w:rPr>
              <w:t>第四号の二から第六号まで又は前三号のいずれかに該当する者のあるものであるとき。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pPr>
              <w:pStyle w:val="0"/>
              <w:snapToGrid w:val="0"/>
              <w:spacing w:line="240" w:lineRule="exact"/>
              <w:rPr>
                <w:rFonts w:hint="default" w:ascii="游ゴシック" w:hAnsi="游ゴシック" w:eastAsia="游ゴシック"/>
                <w:snapToGrid w:val="0"/>
              </w:rPr>
            </w:pPr>
          </w:p>
        </w:tc>
      </w:tr>
    </w:tbl>
    <w:p>
      <w:pPr>
        <w:pStyle w:val="0"/>
        <w:snapToGrid w:val="0"/>
        <w:spacing w:line="240" w:lineRule="exact"/>
        <w:rPr>
          <w:rFonts w:hint="default" w:ascii="游ゴシック" w:hAnsi="游ゴシック" w:eastAsia="游ゴシック"/>
        </w:rPr>
      </w:pP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1"/>
      </w:tblGrid>
      <w:tr>
        <w:trPr>
          <w:trHeight w:val="2085" w:hRule="atLeast"/>
        </w:trPr>
        <w:tc>
          <w:tcPr>
            <w:tcW w:w="9781" w:type="dxa"/>
            <w:vAlign w:val="top"/>
          </w:tcPr>
          <w:p>
            <w:pPr>
              <w:pStyle w:val="0"/>
              <w:snapToGrid w:val="0"/>
              <w:spacing w:line="240" w:lineRule="exact"/>
              <w:ind w:left="256" w:hanging="212"/>
              <w:rPr>
                <w:rFonts w:hint="default" w:ascii="游ゴシック" w:hAnsi="游ゴシック" w:eastAsia="游ゴシック"/>
                <w:snapToGrid w:val="0"/>
              </w:rPr>
            </w:pPr>
          </w:p>
          <w:p>
            <w:pPr>
              <w:pStyle w:val="0"/>
              <w:snapToGrid w:val="0"/>
              <w:spacing w:line="240" w:lineRule="exact"/>
              <w:ind w:left="256" w:hanging="212"/>
              <w:rPr>
                <w:rFonts w:hint="default" w:ascii="游ゴシック" w:hAnsi="游ゴシック" w:eastAsia="游ゴシック"/>
                <w:snapToGrid w:val="0"/>
              </w:rPr>
            </w:pPr>
            <w:r>
              <w:rPr>
                <w:rFonts w:hint="eastAsia" w:ascii="游ゴシック" w:hAnsi="游ゴシック" w:eastAsia="游ゴシック"/>
                <w:snapToGrid w:val="0"/>
              </w:rPr>
              <w:t>【介護保険法第第１１５条の１２第２項】</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一　</w:t>
            </w:r>
            <w:r>
              <w:rPr>
                <w:rFonts w:hint="default" w:ascii="游ゴシック" w:hAnsi="游ゴシック" w:eastAsia="游ゴシック"/>
              </w:rPr>
              <w:t>申請者が</w:t>
            </w:r>
            <w:r>
              <w:rPr>
                <w:rFonts w:hint="eastAsia" w:ascii="游ゴシック" w:hAnsi="游ゴシック" w:eastAsia="游ゴシック"/>
              </w:rPr>
              <w:t>市町村の条例で定める者</w:t>
            </w:r>
            <w:r>
              <w:rPr>
                <w:rFonts w:hint="default" w:ascii="游ゴシック" w:hAnsi="游ゴシック" w:eastAsia="游ゴシック"/>
              </w:rPr>
              <w:t>でないとき。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二　</w:t>
            </w:r>
            <w:r>
              <w:rPr>
                <w:rFonts w:hint="default" w:ascii="游ゴシック" w:hAnsi="游ゴシック" w:eastAsia="游ゴシック"/>
              </w:rPr>
              <w:t>当該申請に係る事業所の従業者の知識及び技能並びに人員が，第</w:t>
            </w:r>
            <w:r>
              <w:rPr>
                <w:rFonts w:hint="eastAsia" w:ascii="游ゴシック" w:hAnsi="游ゴシック" w:eastAsia="游ゴシック"/>
              </w:rPr>
              <w:t>１１５</w:t>
            </w:r>
            <w:r>
              <w:rPr>
                <w:rFonts w:hint="default" w:ascii="游ゴシック" w:hAnsi="游ゴシック" w:eastAsia="游ゴシック"/>
              </w:rPr>
              <w:t>条の</w:t>
            </w:r>
            <w:r>
              <w:rPr>
                <w:rFonts w:hint="eastAsia" w:ascii="游ゴシック" w:hAnsi="游ゴシック" w:eastAsia="游ゴシック"/>
              </w:rPr>
              <w:t>１４</w:t>
            </w:r>
            <w:r>
              <w:rPr>
                <w:rFonts w:hint="default" w:ascii="游ゴシック" w:hAnsi="游ゴシック" w:eastAsia="游ゴシック"/>
              </w:rPr>
              <w:t>第</w:t>
            </w:r>
            <w:r>
              <w:rPr>
                <w:rFonts w:hint="eastAsia" w:ascii="游ゴシック" w:hAnsi="游ゴシック" w:eastAsia="游ゴシック"/>
              </w:rPr>
              <w:t>１</w:t>
            </w:r>
            <w:r>
              <w:rPr>
                <w:rFonts w:hint="default" w:ascii="游ゴシック" w:hAnsi="游ゴシック" w:eastAsia="游ゴシック"/>
              </w:rPr>
              <w:t>項の</w:t>
            </w:r>
            <w:r>
              <w:rPr>
                <w:rFonts w:hint="eastAsia" w:ascii="游ゴシック" w:hAnsi="游ゴシック" w:eastAsia="游ゴシック"/>
              </w:rPr>
              <w:t>市町村の条例で定める基準若しくは同項の市町村の条例で定める員数又は同条第５項に規定する指定地域密着型介護予防サービスに</w:t>
            </w:r>
            <w:r>
              <w:rPr>
                <w:rFonts w:hint="default" w:ascii="游ゴシック" w:hAnsi="游ゴシック" w:eastAsia="游ゴシック"/>
              </w:rPr>
              <w:t>従事する従業者に関する基準を満たしていないとき。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三　</w:t>
            </w:r>
            <w:r>
              <w:rPr>
                <w:rFonts w:hint="default" w:ascii="游ゴシック" w:hAnsi="游ゴシック" w:eastAsia="游ゴシック"/>
              </w:rPr>
              <w:t>申請者が，第</w:t>
            </w:r>
            <w:r>
              <w:rPr>
                <w:rFonts w:hint="eastAsia" w:ascii="游ゴシック" w:hAnsi="游ゴシック" w:eastAsia="游ゴシック"/>
              </w:rPr>
              <w:t>１１５</w:t>
            </w:r>
            <w:r>
              <w:rPr>
                <w:rFonts w:hint="default" w:ascii="游ゴシック" w:hAnsi="游ゴシック" w:eastAsia="游ゴシック"/>
              </w:rPr>
              <w:t>条の</w:t>
            </w:r>
            <w:r>
              <w:rPr>
                <w:rFonts w:hint="eastAsia" w:ascii="游ゴシック" w:hAnsi="游ゴシック" w:eastAsia="游ゴシック"/>
              </w:rPr>
              <w:t>１４</w:t>
            </w:r>
            <w:r>
              <w:rPr>
                <w:rFonts w:hint="default" w:ascii="游ゴシック" w:hAnsi="游ゴシック" w:eastAsia="游ゴシック"/>
              </w:rPr>
              <w:t>第</w:t>
            </w:r>
            <w:r>
              <w:rPr>
                <w:rFonts w:hint="eastAsia" w:ascii="游ゴシック" w:hAnsi="游ゴシック" w:eastAsia="游ゴシック"/>
              </w:rPr>
              <w:t>２</w:t>
            </w:r>
            <w:r>
              <w:rPr>
                <w:rFonts w:hint="default" w:ascii="游ゴシック" w:hAnsi="游ゴシック" w:eastAsia="游ゴシック"/>
              </w:rPr>
              <w:t>項又は第</w:t>
            </w:r>
            <w:r>
              <w:rPr>
                <w:rFonts w:hint="eastAsia" w:ascii="游ゴシック" w:hAnsi="游ゴシック" w:eastAsia="游ゴシック"/>
              </w:rPr>
              <w:t>５</w:t>
            </w:r>
            <w:r>
              <w:rPr>
                <w:rFonts w:hint="default" w:ascii="游ゴシック" w:hAnsi="游ゴシック" w:eastAsia="游ゴシック"/>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四　</w:t>
            </w:r>
            <w:r>
              <w:rPr>
                <w:rFonts w:hint="default" w:ascii="游ゴシック" w:hAnsi="游ゴシック" w:eastAsia="游ゴシック"/>
              </w:rPr>
              <w:t>当該申請に係る事業所が当該市町村の区域の外にある場合であって，その所在地の市町村長の同意を得ていないとき。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四の二　申請者が，禁錮以上の刑に処せられ，その執行を終わり，又は執行を受けることがなくなるまでの者であるとき。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五　</w:t>
            </w:r>
            <w:r>
              <w:rPr>
                <w:rFonts w:hint="default" w:ascii="游ゴシック" w:hAnsi="游ゴシック" w:eastAsia="游ゴシック"/>
              </w:rPr>
              <w:t>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五の二　申請者が，労働に関する法律の規定であって政令で定めるものにより罰金の刑に処せられ，その執行を終わり，又は執行を受けることがなくなるまでの者であるとき。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五の三　申請者が，保険料等について，当該申請をした日の前日までに，納付義務を定めた法律の規定に基づく滞納処分を受け，かつ，当該処分を受けた日以降に納期限の到来した保険料等の全てを引き続き滞納している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六　</w:t>
            </w:r>
            <w:r>
              <w:rPr>
                <w:rFonts w:hint="default" w:ascii="游ゴシック" w:hAnsi="游ゴシック" w:eastAsia="游ゴシック"/>
              </w:rPr>
              <w:t>申請者</w:t>
            </w:r>
            <w:r>
              <w:rPr>
                <w:rFonts w:hint="eastAsia" w:ascii="游ゴシック" w:hAnsi="游ゴシック" w:eastAsia="游ゴシック"/>
              </w:rPr>
              <w:t>（介護予防認知症対応型共同生活介護に係る指定の申請者を除く。）</w:t>
            </w:r>
            <w:r>
              <w:rPr>
                <w:rFonts w:hint="default" w:ascii="游ゴシック" w:hAnsi="游ゴシック" w:eastAsia="游ゴシック"/>
              </w:rPr>
              <w:t>が，第</w:t>
            </w:r>
            <w:r>
              <w:rPr>
                <w:rFonts w:hint="eastAsia" w:ascii="游ゴシック" w:hAnsi="游ゴシック" w:eastAsia="游ゴシック"/>
              </w:rPr>
              <w:t>１１５</w:t>
            </w:r>
            <w:r>
              <w:rPr>
                <w:rFonts w:hint="default" w:ascii="游ゴシック" w:hAnsi="游ゴシック" w:eastAsia="游ゴシック"/>
              </w:rPr>
              <w:t>条の</w:t>
            </w:r>
            <w:r>
              <w:rPr>
                <w:rFonts w:hint="eastAsia" w:ascii="游ゴシック" w:hAnsi="游ゴシック" w:eastAsia="游ゴシック"/>
              </w:rPr>
              <w:t>１９</w:t>
            </w:r>
            <w:r>
              <w:rPr>
                <w:rFonts w:hint="default" w:ascii="游ゴシック" w:hAnsi="游ゴシック" w:eastAsia="游ゴシック"/>
              </w:rPr>
              <w:t>（第</w:t>
            </w:r>
            <w:r>
              <w:rPr>
                <w:rFonts w:hint="eastAsia" w:ascii="游ゴシック" w:hAnsi="游ゴシック" w:eastAsia="游ゴシック"/>
              </w:rPr>
              <w:t>二</w:t>
            </w:r>
            <w:r>
              <w:rPr>
                <w:rFonts w:hint="default" w:ascii="游ゴシック" w:hAnsi="游ゴシック" w:eastAsia="游ゴシック"/>
              </w:rPr>
              <w:t>号から第</w:t>
            </w:r>
            <w:r>
              <w:rPr>
                <w:rFonts w:hint="eastAsia" w:ascii="游ゴシック" w:hAnsi="游ゴシック" w:eastAsia="游ゴシック"/>
              </w:rPr>
              <w:t>五</w:t>
            </w:r>
            <w:r>
              <w:rPr>
                <w:rFonts w:hint="default" w:ascii="游ゴシック" w:hAnsi="游ゴシック" w:eastAsia="游ゴシック"/>
              </w:rPr>
              <w:t>号までを除く。）の規定により指定</w:t>
            </w:r>
            <w:r>
              <w:rPr>
                <w:rFonts w:hint="eastAsia" w:ascii="游ゴシック" w:hAnsi="游ゴシック" w:eastAsia="游ゴシック"/>
              </w:rPr>
              <w:t>（介護予防認知症対応型共同生活介護に係る指定を除く。）</w:t>
            </w:r>
            <w:r>
              <w:rPr>
                <w:rFonts w:hint="default" w:ascii="游ゴシック" w:hAnsi="游ゴシック" w:eastAsia="游ゴシック"/>
              </w:rPr>
              <w:t>を取り消され，その取消しの日から起算して</w:t>
            </w:r>
            <w:r>
              <w:rPr>
                <w:rFonts w:hint="eastAsia" w:ascii="游ゴシック" w:hAnsi="游ゴシック" w:eastAsia="游ゴシック"/>
              </w:rPr>
              <w:t>５</w:t>
            </w:r>
            <w:r>
              <w:rPr>
                <w:rFonts w:hint="default" w:ascii="游ゴシック" w:hAnsi="游ゴシック" w:eastAsia="游ゴシック"/>
              </w:rPr>
              <w:t>年を経過しない者</w:t>
            </w:r>
            <w:r>
              <w:rPr>
                <w:rFonts w:hint="eastAsia" w:ascii="游ゴシック" w:hAnsi="游ゴシック" w:eastAsia="游ゴシック"/>
              </w:rPr>
              <w:t>（当該指定を取り消された者が法人である場合においては，当該取消しの処分に係る行政手続法第１５条の規定による通知があった日前６０日以内に当該法人の役員等であった者で当該取消しの日から起算して</w:t>
            </w:r>
            <w:r>
              <w:rPr>
                <w:rFonts w:hint="eastAsia" w:ascii="游ゴシック" w:hAnsi="游ゴシック" w:eastAsia="游ゴシック"/>
              </w:rPr>
              <w:t>5</w:t>
            </w:r>
            <w:r>
              <w:rPr>
                <w:rFonts w:hint="eastAsia" w:ascii="游ゴシック" w:hAnsi="游ゴシック" w:eastAsia="游ゴシック"/>
              </w:rPr>
              <w:t>年を経過しないものを含み，当該指定を取り消された者が法人でない事業所である場合においては，当該通知があった日前６０日以内に当該事業所の管理者であった者で当該取消しの日から起算して</w:t>
            </w:r>
            <w:r>
              <w:rPr>
                <w:rFonts w:hint="eastAsia" w:ascii="游ゴシック" w:hAnsi="游ゴシック" w:eastAsia="游ゴシック"/>
              </w:rPr>
              <w:t>5</w:t>
            </w:r>
            <w:r>
              <w:rPr>
                <w:rFonts w:hint="eastAsia" w:ascii="游ゴシック" w:hAnsi="游ゴシック" w:eastAsia="游ゴシック"/>
              </w:rPr>
              <w:t>年を経過しないものを含む。）</w:t>
            </w:r>
            <w:r>
              <w:rPr>
                <w:rFonts w:hint="default" w:ascii="游ゴシック" w:hAnsi="游ゴシック" w:eastAsia="游ゴシック"/>
              </w:rPr>
              <w:t>であるとき。</w:t>
            </w:r>
            <w:r>
              <w:rPr>
                <w:rFonts w:hint="eastAsia" w:ascii="游ゴシック" w:hAnsi="游ゴシック" w:eastAsia="游ゴシック"/>
              </w:rPr>
              <w:t>ただし，当該指定の取消しが，指定地域密着型介護予防サービス事業者の指定の取消しのうち当該指定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六の二　申請者（介護予防認知症対応型共同生活介護に係る指定の申請者に限る。）が，第１１５条の１９（第二号から第五号までを除く。）の規定により指定（介護予防認知症対応型共同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の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40" w:lineRule="exact"/>
              <w:ind w:left="256" w:hanging="212"/>
              <w:rPr>
                <w:rFonts w:hint="eastAsia" w:ascii="游ゴシック" w:hAnsi="游ゴシック" w:eastAsia="游ゴシック"/>
              </w:rPr>
            </w:pPr>
            <w:r>
              <w:rPr>
                <w:rFonts w:hint="eastAsia" w:ascii="游ゴシック" w:hAnsi="游ゴシック" w:eastAsia="游ゴシック"/>
              </w:rPr>
              <w:t>六の三　申請者と密接な関係を有する者が，第１１５条の１９（第二号から第五号までを除く。）の規定により指定を取り消され，その取消しの日から起算して５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七　</w:t>
            </w:r>
            <w:r>
              <w:rPr>
                <w:rFonts w:hint="default" w:ascii="游ゴシック" w:hAnsi="游ゴシック" w:eastAsia="游ゴシック"/>
              </w:rPr>
              <w:t>申請者が，第</w:t>
            </w:r>
            <w:r>
              <w:rPr>
                <w:rFonts w:hint="eastAsia" w:ascii="游ゴシック" w:hAnsi="游ゴシック" w:eastAsia="游ゴシック"/>
              </w:rPr>
              <w:t>１１５</w:t>
            </w:r>
            <w:r>
              <w:rPr>
                <w:rFonts w:hint="default" w:ascii="游ゴシック" w:hAnsi="游ゴシック" w:eastAsia="游ゴシック"/>
              </w:rPr>
              <w:t>条の</w:t>
            </w:r>
            <w:r>
              <w:rPr>
                <w:rFonts w:hint="eastAsia" w:ascii="游ゴシック" w:hAnsi="游ゴシック" w:eastAsia="游ゴシック"/>
              </w:rPr>
              <w:t>１９</w:t>
            </w:r>
            <w:r>
              <w:rPr>
                <w:rFonts w:hint="default" w:ascii="游ゴシック" w:hAnsi="游ゴシック" w:eastAsia="游ゴシック"/>
              </w:rPr>
              <w:t>（第</w:t>
            </w:r>
            <w:r>
              <w:rPr>
                <w:rFonts w:hint="eastAsia" w:ascii="游ゴシック" w:hAnsi="游ゴシック" w:eastAsia="游ゴシック"/>
              </w:rPr>
              <w:t>二</w:t>
            </w:r>
            <w:r>
              <w:rPr>
                <w:rFonts w:hint="default" w:ascii="游ゴシック" w:hAnsi="游ゴシック" w:eastAsia="游ゴシック"/>
              </w:rPr>
              <w:t>号から第</w:t>
            </w:r>
            <w:r>
              <w:rPr>
                <w:rFonts w:hint="eastAsia" w:ascii="游ゴシック" w:hAnsi="游ゴシック" w:eastAsia="游ゴシック"/>
              </w:rPr>
              <w:t>五</w:t>
            </w:r>
            <w:r>
              <w:rPr>
                <w:rFonts w:hint="default" w:ascii="游ゴシック" w:hAnsi="游ゴシック" w:eastAsia="游ゴシック"/>
              </w:rPr>
              <w:t>号までを除く。）の規定による指定の取消しの処分に係る</w:t>
            </w:r>
            <w:r>
              <w:rPr>
                <w:rFonts w:hint="eastAsia"/>
              </w:rPr>
              <w:fldChar w:fldCharType="begin"/>
            </w:r>
            <w:r>
              <w:rPr>
                <w:rFonts w:hint="eastAsia"/>
              </w:rPr>
              <w:instrText xml:space="preserve"> HYPERLINK "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\l "1000000000000000000000000000000000000000"</w:instrText>
            </w:r>
            <w:r>
              <w:rPr>
                <w:rFonts w:hint="eastAsia"/>
              </w:rPr>
              <w:fldChar w:fldCharType="separate"/>
            </w:r>
            <w:r>
              <w:rPr>
                <w:rStyle w:val="15"/>
                <w:rFonts w:hint="default" w:ascii="游ゴシック" w:hAnsi="游ゴシック" w:eastAsia="游ゴシック"/>
                <w:color w:val="auto"/>
                <w:u w:val="none" w:color="auto"/>
              </w:rPr>
              <w:t>行政手続法第</w:t>
            </w:r>
            <w:r>
              <w:rPr>
                <w:rStyle w:val="15"/>
                <w:rFonts w:hint="eastAsia" w:ascii="游ゴシック" w:hAnsi="游ゴシック" w:eastAsia="游ゴシック"/>
                <w:color w:val="auto"/>
                <w:u w:val="none" w:color="auto"/>
              </w:rPr>
              <w:t>１５</w:t>
            </w:r>
            <w:r>
              <w:rPr>
                <w:rStyle w:val="15"/>
                <w:rFonts w:hint="default" w:ascii="游ゴシック" w:hAnsi="游ゴシック" w:eastAsia="游ゴシック"/>
                <w:color w:val="auto"/>
                <w:u w:val="none" w:color="auto"/>
              </w:rPr>
              <w:t>条</w:t>
            </w:r>
            <w:r>
              <w:rPr>
                <w:rFonts w:hint="eastAsia"/>
              </w:rPr>
              <w:fldChar w:fldCharType="end"/>
            </w:r>
            <w:r>
              <w:rPr>
                <w:rFonts w:hint="default" w:ascii="游ゴシック" w:hAnsi="游ゴシック" w:eastAsia="游ゴシック"/>
              </w:rPr>
              <w:t>の規定による通知があった日から当該処分をする日又は処分をしないことを決定する日までの間に</w:t>
            </w:r>
            <w:r>
              <w:rPr>
                <w:rFonts w:hint="eastAsia"/>
              </w:rPr>
              <w:fldChar w:fldCharType="begin"/>
            </w:r>
            <w:r>
              <w:rPr>
                <w:rFonts w:hint="eastAsia"/>
              </w:rPr>
              <w:instrText xml:space="preserve"> HYPERLINK "http://kensaku.kudan.hq.admix.go.jp/SOUMU/cgi-bin/idxrefer.cgi?H_FILE=%95%bd%8c%dc%96%40%94%aa%94%aa&amp;REF_NAME=%91%e6%95%53%8f%5c%8c%dc%8f%f0%82%cc%8f%5c%8e%6c&amp;ANCHOR_F=1000000000000000000000000000000000000000000000011501400000000000000000000000000&amp;ANCHOR_T=1000000000000000000000000000000000000000000000011501400000000000000000000000000" \l "1000000000000000000000000000000000000000"</w:instrText>
            </w:r>
            <w:r>
              <w:rPr>
                <w:rFonts w:hint="eastAsia"/>
              </w:rPr>
              <w:fldChar w:fldCharType="separate"/>
            </w:r>
            <w:r>
              <w:rPr>
                <w:rStyle w:val="15"/>
                <w:rFonts w:hint="default" w:ascii="游ゴシック" w:hAnsi="游ゴシック" w:eastAsia="游ゴシック"/>
                <w:color w:val="auto"/>
                <w:u w:val="none" w:color="auto"/>
              </w:rPr>
              <w:t>第</w:t>
            </w:r>
            <w:r>
              <w:rPr>
                <w:rStyle w:val="15"/>
                <w:rFonts w:hint="eastAsia" w:ascii="游ゴシック" w:hAnsi="游ゴシック" w:eastAsia="游ゴシック"/>
                <w:color w:val="auto"/>
                <w:u w:val="none" w:color="auto"/>
              </w:rPr>
              <w:t>１１５</w:t>
            </w:r>
            <w:r>
              <w:rPr>
                <w:rStyle w:val="15"/>
                <w:rFonts w:hint="default" w:ascii="游ゴシック" w:hAnsi="游ゴシック" w:eastAsia="游ゴシック"/>
                <w:color w:val="auto"/>
                <w:u w:val="none" w:color="auto"/>
              </w:rPr>
              <w:t>条の</w:t>
            </w:r>
            <w:r>
              <w:rPr>
                <w:rStyle w:val="15"/>
                <w:rFonts w:hint="eastAsia" w:ascii="游ゴシック" w:hAnsi="游ゴシック" w:eastAsia="游ゴシック"/>
                <w:color w:val="auto"/>
                <w:u w:val="none" w:color="auto"/>
              </w:rPr>
              <w:t>１</w:t>
            </w:r>
            <w:r>
              <w:rPr>
                <w:rFonts w:hint="eastAsia"/>
              </w:rPr>
              <w:fldChar w:fldCharType="end"/>
            </w:r>
            <w:r>
              <w:rPr>
                <w:rStyle w:val="15"/>
                <w:rFonts w:hint="eastAsia" w:ascii="游ゴシック" w:hAnsi="游ゴシック" w:eastAsia="游ゴシック"/>
                <w:color w:val="auto"/>
                <w:u w:val="none" w:color="auto"/>
              </w:rPr>
              <w:t>５第２項</w:t>
            </w:r>
            <w:r>
              <w:rPr>
                <w:rFonts w:hint="default" w:ascii="游ゴシック" w:hAnsi="游ゴシック" w:eastAsia="游ゴシック"/>
              </w:rPr>
              <w:t>の規定による事業の廃止の届出をした者（当該事業の廃止について相当の理由がある者を除く。）で，当該届出の日から起算して</w:t>
            </w:r>
            <w:r>
              <w:rPr>
                <w:rFonts w:hint="eastAsia" w:ascii="游ゴシック" w:hAnsi="游ゴシック" w:eastAsia="游ゴシック"/>
              </w:rPr>
              <w:t>５</w:t>
            </w:r>
            <w:r>
              <w:rPr>
                <w:rFonts w:hint="default" w:ascii="游ゴシック" w:hAnsi="游ゴシック" w:eastAsia="游ゴシック"/>
              </w:rPr>
              <w:t>年を経過しないものであるとき。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七の二　前号に規定する期間内に第１１５条の１５第２項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八　</w:t>
            </w:r>
            <w:r>
              <w:rPr>
                <w:rFonts w:hint="default" w:ascii="游ゴシック" w:hAnsi="游ゴシック" w:eastAsia="游ゴシック"/>
              </w:rPr>
              <w:t>申請者が，指定の申請前</w:t>
            </w:r>
            <w:r>
              <w:rPr>
                <w:rFonts w:hint="eastAsia" w:ascii="游ゴシック" w:hAnsi="游ゴシック" w:eastAsia="游ゴシック"/>
              </w:rPr>
              <w:t>５</w:t>
            </w:r>
            <w:r>
              <w:rPr>
                <w:rFonts w:hint="default" w:ascii="游ゴシック" w:hAnsi="游ゴシック" w:eastAsia="游ゴシック"/>
              </w:rPr>
              <w:t>年以内に居宅サービス等に関し不正又は著しく不当な行為をした者であるとき。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九　</w:t>
            </w:r>
            <w:r>
              <w:rPr>
                <w:rFonts w:hint="default" w:ascii="游ゴシック" w:hAnsi="游ゴシック" w:eastAsia="游ゴシック"/>
              </w:rPr>
              <w:t>申請者</w:t>
            </w:r>
            <w:r>
              <w:rPr>
                <w:rFonts w:hint="eastAsia" w:ascii="游ゴシック" w:hAnsi="游ゴシック" w:eastAsia="游ゴシック"/>
              </w:rPr>
              <w:t>（介護予防認知症対応型共同生活介護に係る指定の申請者を除く。）が，法人で，そ</w:t>
            </w:r>
            <w:r>
              <w:rPr>
                <w:rFonts w:hint="default" w:ascii="游ゴシック" w:hAnsi="游ゴシック" w:eastAsia="游ゴシック"/>
              </w:rPr>
              <w:t>の役員等のうちに</w:t>
            </w:r>
            <w:r>
              <w:rPr>
                <w:rFonts w:hint="eastAsia" w:ascii="游ゴシック" w:hAnsi="游ゴシック" w:eastAsia="游ゴシック"/>
              </w:rPr>
              <w:t>第四号の二から第六号まで又は前三号のいずれかに該当する者のあるものであるとき。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pPr>
              <w:pStyle w:val="0"/>
              <w:snapToGrid w:val="0"/>
              <w:spacing w:line="240" w:lineRule="exact"/>
              <w:ind w:left="256" w:hanging="212"/>
              <w:rPr>
                <w:rFonts w:hint="default" w:ascii="游ゴシック" w:hAnsi="游ゴシック" w:eastAsia="游ゴシック"/>
              </w:rPr>
            </w:pPr>
            <w:r>
              <w:rPr>
                <w:rFonts w:hint="eastAsia" w:ascii="游ゴシック" w:hAnsi="游ゴシック" w:eastAsia="游ゴシック"/>
              </w:rPr>
              <w:t>十一　</w:t>
            </w:r>
            <w:r>
              <w:rPr>
                <w:rFonts w:hint="default" w:ascii="游ゴシック" w:hAnsi="游ゴシック" w:eastAsia="游ゴシック"/>
              </w:rPr>
              <w:t>申請者</w:t>
            </w:r>
            <w:r>
              <w:rPr>
                <w:rFonts w:hint="eastAsia" w:ascii="游ゴシック" w:hAnsi="游ゴシック" w:eastAsia="游ゴシック"/>
              </w:rPr>
              <w:t>（介護予防認知症対応型共同生活介護に係る指定の申請者を除く。）が，法人でない事業所で，その管理者が第四号の二から第六号まで又は第七号から第八号までのいずれかに該当する者であるとき。</w:t>
            </w:r>
          </w:p>
          <w:p>
            <w:pPr>
              <w:pStyle w:val="0"/>
              <w:snapToGrid w:val="0"/>
              <w:spacing w:line="240" w:lineRule="exact"/>
              <w:ind w:left="256" w:hanging="212"/>
              <w:rPr>
                <w:rFonts w:hint="eastAsia" w:ascii="游ゴシック" w:hAnsi="游ゴシック" w:eastAsia="游ゴシック"/>
              </w:rPr>
            </w:pPr>
            <w:r>
              <w:rPr>
                <w:rFonts w:hint="eastAsia" w:ascii="游ゴシック" w:hAnsi="游ゴシック" w:eastAsia="游ゴシック"/>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pPr>
              <w:pStyle w:val="0"/>
              <w:snapToGrid w:val="0"/>
              <w:spacing w:line="240" w:lineRule="exact"/>
              <w:rPr>
                <w:rFonts w:hint="eastAsia" w:ascii="游ゴシック" w:hAnsi="游ゴシック" w:eastAsia="游ゴシック"/>
              </w:rPr>
            </w:pPr>
          </w:p>
        </w:tc>
      </w:tr>
    </w:tbl>
    <w:p>
      <w:pPr>
        <w:pStyle w:val="0"/>
        <w:snapToGrid w:val="0"/>
        <w:spacing w:line="240" w:lineRule="exact"/>
        <w:rPr>
          <w:rFonts w:hint="default" w:ascii="游ゴシック" w:hAnsi="游ゴシック" w:eastAsia="游ゴシック"/>
        </w:rPr>
      </w:pP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22222623"/>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4</Pages>
  <Words>2</Words>
  <Characters>6507</Characters>
  <Application>JUST Note</Application>
  <Lines>186</Lines>
  <Paragraphs>48</Paragraphs>
  <Company>厚生労働省</Company>
  <CharactersWithSpaces>6601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（参考様式８）</dc:title>
  <dc:creator>厚生労働省ネットワークシステム</dc:creator>
  <cp:lastModifiedBy>Administrator</cp:lastModifiedBy>
  <cp:lastPrinted>2006-02-14T01:15:00Z</cp:lastPrinted>
  <dcterms:created xsi:type="dcterms:W3CDTF">2017-11-22T01:30:00Z</dcterms:created>
  <dcterms:modified xsi:type="dcterms:W3CDTF">2023-03-22T07:11:36Z</dcterms:modified>
  <cp:revision>14</cp:revision>
</cp:coreProperties>
</file>